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57</w:t>
      </w:r>
    </w:p>
    <w:p>
      <w:r>
        <w:t>Bundesgericht (BGE), 2013-05-15, DE</w:t>
      </w:r>
    </w:p>
    <w:p>
      <w:r>
        <w:rPr>
          <w:b/>
        </w:rPr>
        <w:t xml:space="preserve">Quelle: </w:t>
      </w:r>
      <w:r>
        <w:t>https://mcp.opencaselaw.ch/entscheid/bge_140 V 57</w:t>
      </w:r>
    </w:p>
    <w:p>
      <w:r>
        <w:t>FR: ATF 140 V 57</w:t>
      </w:r>
    </w:p>
    <w:p>
      <w:r>
        <w:t>IT: DTF 140 V 57</w:t>
      </w:r>
    </w:p>
    <w:p>
      <w:pPr>
        <w:pStyle w:val="Heading2"/>
      </w:pPr>
      <w:r>
        <w:t>Regeste</w:t>
      </w:r>
    </w:p>
    <w:p>
      <w:r>
        <w:t>Regeste Art. 2 Abs. 1 lit. b Ziff. 2 BVV 3; Hinterlassenenleistungen für in erheblichem Masse unterstützte Personen. Die Rechtsprechung, wonach die Qualifikation der Unterstützung als erheblich in zeitlicher Hinsicht in der Regel eine Dauer von mindestens zwei Jahren voraussetzt, ist auch im Bereich der Säule 3a anwendbar (E. 4.3).</w:t>
      </w:r>
    </w:p>
    <w:p>
      <w:pPr>
        <w:pStyle w:val="Heading2"/>
      </w:pPr>
      <w:r>
        <w:t>Erwägungen</w:t>
      </w:r>
    </w:p>
    <w:p>
      <w:r>
        <w:rPr>
          <w:b/>
        </w:rPr>
        <w:t>E. 4.3</w:t>
      </w:r>
    </w:p>
    <w:p>
      <w:r>
        <w:t>In BGE 140 V 50 hat das Bundesgericht mit Blick auf Art. 20a Abs. 1 lit. a BVG und die dort ebenfalls erwähnte Kategorie von "Personen, die in erheblichem Masse unterstützt worden sind", entschieden, dass für die Qualifikation der Unterstützung als erheblich in zeitlicher Hinsicht in der Regel eine Dauer von mindestens zwei Jahren vorausgesetzt ist (a.a.O., E. 3.4). Es ist kein Grund ersichtlich, diese Rechtsprechung nicht auch auf Art. 2 Abs. 1 lit. b Ziff. 2 der Verordnung vom 13. November 1985 über die steuerliche Abzugsberechtigung für Beiträge an anerkannte Vorsorgeformen (BVV 3; SR 831.461.3) anzuwenden. Weiter ist dieser zeitliche Massstab demnach auch an die gleichlautende Bestimmung von Art. 13 Abs. 1 lit. b des Stiftungsreglements der Vorsorgestiftung vom Dezember 2007 anzulegen (nicht publ.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